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F5CFF" w14:textId="308B4DBC" w:rsidR="002E773E" w:rsidRPr="002E773E" w:rsidRDefault="002E773E" w:rsidP="002E773E">
      <w:pPr>
        <w:pStyle w:val="Header"/>
        <w:tabs>
          <w:tab w:val="right" w:pos="9639"/>
        </w:tabs>
        <w:rPr>
          <w:bCs/>
          <w:noProof w:val="0"/>
          <w:sz w:val="24"/>
          <w:szCs w:val="24"/>
        </w:rPr>
      </w:pPr>
      <w:r w:rsidRPr="00FE251B">
        <w:rPr>
          <w:bCs/>
          <w:noProof w:val="0"/>
          <w:sz w:val="24"/>
          <w:szCs w:val="24"/>
        </w:rPr>
        <w:t xml:space="preserve">3GPP TSG-RAN WG2 </w:t>
      </w:r>
      <w:r w:rsidR="0035443F" w:rsidRPr="0035443F">
        <w:rPr>
          <w:bCs/>
          <w:noProof w:val="0"/>
          <w:sz w:val="24"/>
          <w:szCs w:val="24"/>
        </w:rPr>
        <w:t>3GPPRAN2#101</w:t>
      </w:r>
      <w:r w:rsidRPr="00B266B0">
        <w:rPr>
          <w:bCs/>
          <w:noProof w:val="0"/>
          <w:sz w:val="24"/>
          <w:szCs w:val="24"/>
        </w:rPr>
        <w:tab/>
      </w:r>
      <w:r w:rsidR="005F0E4D" w:rsidRPr="005F0E4D">
        <w:rPr>
          <w:bCs/>
          <w:noProof w:val="0"/>
          <w:sz w:val="24"/>
          <w:szCs w:val="24"/>
        </w:rPr>
        <w:t>R2-1803151</w:t>
      </w:r>
    </w:p>
    <w:p w14:paraId="3FF43286" w14:textId="1AD8403F" w:rsidR="002E773E" w:rsidRPr="00B266B0" w:rsidRDefault="00331FAA" w:rsidP="002E773E">
      <w:pPr>
        <w:pStyle w:val="Header"/>
        <w:tabs>
          <w:tab w:val="right" w:pos="9639"/>
        </w:tabs>
        <w:rPr>
          <w:bCs/>
          <w:noProof w:val="0"/>
          <w:sz w:val="24"/>
          <w:szCs w:val="24"/>
        </w:rPr>
      </w:pPr>
      <w:r>
        <w:rPr>
          <w:rFonts w:eastAsia="SimSun"/>
          <w:noProof w:val="0"/>
          <w:sz w:val="24"/>
          <w:szCs w:val="24"/>
          <w:lang w:eastAsia="zh-CN"/>
        </w:rPr>
        <w:t>Athens</w:t>
      </w:r>
      <w:r w:rsidR="002E773E" w:rsidRPr="00C24650">
        <w:rPr>
          <w:rFonts w:eastAsia="SimSun"/>
          <w:noProof w:val="0"/>
          <w:sz w:val="24"/>
          <w:szCs w:val="24"/>
          <w:lang w:eastAsia="zh-CN"/>
        </w:rPr>
        <w:t xml:space="preserve">, </w:t>
      </w:r>
      <w:r>
        <w:rPr>
          <w:rFonts w:eastAsia="SimSun"/>
          <w:noProof w:val="0"/>
          <w:sz w:val="24"/>
          <w:szCs w:val="24"/>
          <w:lang w:eastAsia="zh-CN"/>
        </w:rPr>
        <w:t>Greece</w:t>
      </w:r>
      <w:r w:rsidR="002E773E" w:rsidRPr="00C24650">
        <w:rPr>
          <w:rFonts w:eastAsia="SimSun"/>
          <w:noProof w:val="0"/>
          <w:sz w:val="24"/>
          <w:szCs w:val="24"/>
          <w:lang w:eastAsia="zh-CN"/>
        </w:rPr>
        <w:t xml:space="preserve">, </w:t>
      </w:r>
      <w:r>
        <w:rPr>
          <w:rFonts w:eastAsia="SimSun"/>
          <w:noProof w:val="0"/>
          <w:sz w:val="24"/>
          <w:szCs w:val="24"/>
          <w:lang w:eastAsia="zh-CN"/>
        </w:rPr>
        <w:t>26 February</w:t>
      </w:r>
      <w:r w:rsidR="002E773E">
        <w:rPr>
          <w:rFonts w:eastAsia="SimSun"/>
          <w:noProof w:val="0"/>
          <w:sz w:val="24"/>
          <w:szCs w:val="24"/>
          <w:lang w:eastAsia="zh-CN"/>
        </w:rPr>
        <w:t xml:space="preserve"> – </w:t>
      </w:r>
      <w:r>
        <w:rPr>
          <w:rFonts w:eastAsia="SimSun"/>
          <w:noProof w:val="0"/>
          <w:sz w:val="24"/>
          <w:szCs w:val="24"/>
          <w:lang w:eastAsia="zh-CN"/>
        </w:rPr>
        <w:t>02</w:t>
      </w:r>
      <w:r w:rsidR="002E773E">
        <w:rPr>
          <w:rFonts w:eastAsia="SimSun"/>
          <w:noProof w:val="0"/>
          <w:sz w:val="24"/>
          <w:szCs w:val="24"/>
          <w:lang w:eastAsia="zh-CN"/>
        </w:rPr>
        <w:t xml:space="preserve"> </w:t>
      </w:r>
      <w:r>
        <w:rPr>
          <w:rFonts w:eastAsia="SimSun"/>
          <w:noProof w:val="0"/>
          <w:sz w:val="24"/>
          <w:szCs w:val="24"/>
          <w:lang w:eastAsia="zh-CN"/>
        </w:rPr>
        <w:t>March</w:t>
      </w:r>
      <w:r w:rsidR="002E773E">
        <w:rPr>
          <w:rFonts w:eastAsia="SimSun"/>
          <w:noProof w:val="0"/>
          <w:sz w:val="24"/>
          <w:szCs w:val="24"/>
          <w:lang w:eastAsia="zh-CN"/>
        </w:rPr>
        <w:t xml:space="preserve"> </w:t>
      </w:r>
      <w:r w:rsidR="002E773E" w:rsidRPr="00C24650">
        <w:rPr>
          <w:rFonts w:eastAsia="SimSun"/>
          <w:noProof w:val="0"/>
          <w:sz w:val="24"/>
          <w:szCs w:val="24"/>
          <w:lang w:eastAsia="zh-CN"/>
        </w:rPr>
        <w:t>201</w:t>
      </w:r>
      <w:r w:rsidR="002E773E">
        <w:rPr>
          <w:rFonts w:eastAsia="SimSun"/>
          <w:noProof w:val="0"/>
          <w:sz w:val="24"/>
          <w:szCs w:val="24"/>
          <w:lang w:eastAsia="zh-CN"/>
        </w:rPr>
        <w:t>8</w:t>
      </w:r>
      <w:r w:rsidR="002E773E">
        <w:rPr>
          <w:rFonts w:eastAsia="SimSun"/>
          <w:noProof w:val="0"/>
          <w:sz w:val="24"/>
          <w:szCs w:val="24"/>
          <w:lang w:eastAsia="zh-CN"/>
        </w:rPr>
        <w:tab/>
      </w:r>
    </w:p>
    <w:p w14:paraId="24AF1368" w14:textId="77777777" w:rsidR="002E773E" w:rsidRPr="00B266B0" w:rsidRDefault="002E773E" w:rsidP="002E773E">
      <w:pPr>
        <w:pStyle w:val="Header"/>
        <w:rPr>
          <w:bCs/>
          <w:noProof w:val="0"/>
          <w:sz w:val="24"/>
        </w:rPr>
      </w:pPr>
    </w:p>
    <w:p w14:paraId="6B884D7A" w14:textId="2588B654" w:rsidR="002E773E" w:rsidRPr="00B266B0" w:rsidRDefault="002E773E" w:rsidP="002E773E">
      <w:pPr>
        <w:pStyle w:val="CRCoverPage"/>
        <w:tabs>
          <w:tab w:val="left" w:pos="1985"/>
        </w:tabs>
        <w:rPr>
          <w:rFonts w:cs="Arial"/>
          <w:b/>
          <w:bCs/>
          <w:sz w:val="24"/>
          <w:lang w:eastAsia="ja-JP"/>
        </w:rPr>
      </w:pPr>
      <w:r w:rsidRPr="00B266B0">
        <w:rPr>
          <w:rFonts w:cs="Arial"/>
          <w:b/>
          <w:bCs/>
          <w:sz w:val="24"/>
        </w:rPr>
        <w:t>Agenda item:</w:t>
      </w:r>
      <w:r w:rsidR="00B872E3">
        <w:rPr>
          <w:rFonts w:cs="Arial"/>
          <w:b/>
          <w:bCs/>
          <w:sz w:val="24"/>
        </w:rPr>
        <w:tab/>
      </w:r>
      <w:r w:rsidR="005F0E4D" w:rsidRPr="005F0E4D">
        <w:rPr>
          <w:rFonts w:cs="Arial"/>
          <w:b/>
          <w:bCs/>
          <w:sz w:val="24"/>
        </w:rPr>
        <w:t>10.4.4.2</w:t>
      </w:r>
      <w:bookmarkStart w:id="0" w:name="_GoBack"/>
      <w:bookmarkEnd w:id="0"/>
    </w:p>
    <w:p w14:paraId="67113336" w14:textId="3C2BA62B" w:rsidR="002E773E" w:rsidRPr="00B266B0" w:rsidRDefault="002E773E" w:rsidP="002E773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0F5279">
        <w:rPr>
          <w:rFonts w:ascii="Arial" w:hAnsi="Arial" w:cs="Arial"/>
          <w:b/>
          <w:bCs/>
          <w:sz w:val="24"/>
        </w:rPr>
        <w:t xml:space="preserve">, NTT DOCOMO INC., </w:t>
      </w:r>
      <w:r w:rsidR="000F5279" w:rsidRPr="000F5279">
        <w:rPr>
          <w:rFonts w:ascii="Arial" w:hAnsi="Arial" w:cs="Arial"/>
          <w:b/>
          <w:bCs/>
          <w:sz w:val="24"/>
        </w:rPr>
        <w:t>Deutsche Telekom AG</w:t>
      </w:r>
      <w:r w:rsidR="000F5279">
        <w:rPr>
          <w:rFonts w:ascii="Arial" w:hAnsi="Arial" w:cs="Arial"/>
          <w:b/>
          <w:bCs/>
          <w:sz w:val="24"/>
        </w:rPr>
        <w:t xml:space="preserve">, </w:t>
      </w:r>
      <w:r w:rsidR="000F5279" w:rsidRPr="000F5279">
        <w:rPr>
          <w:rFonts w:ascii="Arial" w:hAnsi="Arial" w:cs="Arial"/>
          <w:b/>
          <w:bCs/>
          <w:sz w:val="24"/>
        </w:rPr>
        <w:t>MediaTek Inc</w:t>
      </w:r>
      <w:r w:rsidR="000F5279">
        <w:rPr>
          <w:rFonts w:ascii="Arial" w:hAnsi="Arial" w:cs="Arial"/>
          <w:b/>
          <w:bCs/>
          <w:sz w:val="24"/>
        </w:rPr>
        <w:t>.</w:t>
      </w:r>
      <w:r w:rsidR="001D7198">
        <w:rPr>
          <w:rFonts w:ascii="Arial" w:hAnsi="Arial" w:cs="Arial"/>
          <w:b/>
          <w:bCs/>
          <w:sz w:val="24"/>
        </w:rPr>
        <w:t>, Interdigital LLC</w:t>
      </w:r>
      <w:r w:rsidR="00AF6B82">
        <w:rPr>
          <w:rFonts w:ascii="Arial" w:hAnsi="Arial" w:cs="Arial"/>
          <w:b/>
          <w:bCs/>
          <w:sz w:val="24"/>
        </w:rPr>
        <w:t xml:space="preserve">, </w:t>
      </w:r>
      <w:r w:rsidR="00AF6B82" w:rsidRPr="00AF6B82">
        <w:rPr>
          <w:rFonts w:ascii="Arial" w:hAnsi="Arial" w:cs="Arial"/>
          <w:b/>
          <w:bCs/>
          <w:sz w:val="24"/>
        </w:rPr>
        <w:t>Vodafone GmbH</w:t>
      </w:r>
      <w:r w:rsidR="00430A51">
        <w:rPr>
          <w:rFonts w:ascii="Arial" w:hAnsi="Arial" w:cs="Arial"/>
          <w:b/>
          <w:bCs/>
          <w:sz w:val="24"/>
        </w:rPr>
        <w:t>, CATT, AT&amp;T</w:t>
      </w:r>
      <w:r w:rsidR="00393AC4">
        <w:rPr>
          <w:rFonts w:ascii="Arial" w:hAnsi="Arial" w:cs="Arial"/>
          <w:b/>
          <w:bCs/>
          <w:sz w:val="24"/>
        </w:rPr>
        <w:t>, Verizon Wireless</w:t>
      </w:r>
    </w:p>
    <w:p w14:paraId="19E67C0E" w14:textId="06E4A4E2" w:rsidR="002E773E" w:rsidRDefault="002E773E" w:rsidP="002E773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43C">
        <w:rPr>
          <w:rFonts w:ascii="Arial" w:hAnsi="Arial" w:cs="Arial"/>
          <w:b/>
          <w:bCs/>
          <w:sz w:val="24"/>
        </w:rPr>
        <w:t>Covering note f</w:t>
      </w:r>
      <w:r w:rsidR="00BF5D1E">
        <w:rPr>
          <w:rFonts w:ascii="Arial" w:hAnsi="Arial" w:cs="Arial"/>
          <w:b/>
          <w:bCs/>
          <w:sz w:val="24"/>
        </w:rPr>
        <w:t>or SRB3 feature to be mandatory</w:t>
      </w:r>
    </w:p>
    <w:p w14:paraId="3A31EBF8" w14:textId="77777777" w:rsidR="002E773E" w:rsidRPr="00B266B0" w:rsidRDefault="002E773E" w:rsidP="002E773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8365C7E" w14:textId="77777777" w:rsidR="002E773E" w:rsidRPr="00B266B0" w:rsidRDefault="002E773E" w:rsidP="002E773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882684B" w:rsidR="00CD4C7B" w:rsidRDefault="0035443F" w:rsidP="00CD4C7B">
      <w:r>
        <w:t>In this contribution, a way forward is proposed to include the SRB3 in list of mandatory (or mandatory with IoT) features to be supported under discussion for the March 2018 release.</w:t>
      </w:r>
    </w:p>
    <w:p w14:paraId="127ACA6D" w14:textId="559C7082" w:rsidR="00CD4C7B" w:rsidRPr="006E13D1" w:rsidRDefault="00CD4C7B" w:rsidP="00CD4C7B">
      <w:pPr>
        <w:pStyle w:val="Heading1"/>
      </w:pPr>
      <w:r w:rsidRPr="006E13D1">
        <w:t>2</w:t>
      </w:r>
      <w:r w:rsidRPr="006E13D1">
        <w:tab/>
      </w:r>
      <w:r w:rsidR="00802012">
        <w:t xml:space="preserve">Background </w:t>
      </w:r>
    </w:p>
    <w:p w14:paraId="74C3B919" w14:textId="77777777" w:rsidR="00FB4F39" w:rsidRDefault="00FB4F39" w:rsidP="00FB4F39">
      <w:r>
        <w:t xml:space="preserve">As discussed in [1], [2] and in [3]; the SCG SRB (SRB3) provides the SgNB a direct interface to the UE to perform reconfigurations and setup/control and receive measurements from the UE. </w:t>
      </w:r>
    </w:p>
    <w:p w14:paraId="592B0ED5" w14:textId="77777777" w:rsidR="00FB4F39" w:rsidRDefault="00FB4F39" w:rsidP="00FB4F39">
      <w:r>
        <w:t>The main benefit of the SRB3 is due to:</w:t>
      </w:r>
    </w:p>
    <w:p w14:paraId="008C2DB9" w14:textId="77777777" w:rsidR="00FB4F39" w:rsidRDefault="00FB4F39" w:rsidP="00FB4F39">
      <w:r>
        <w:t xml:space="preserve">- the lower latency of the NR radio interface </w:t>
      </w:r>
    </w:p>
    <w:p w14:paraId="53184F83" w14:textId="3C0FF27F" w:rsidR="00DB5628" w:rsidRDefault="00FB4F39" w:rsidP="00FB4F39">
      <w:r>
        <w:t>- the fact that any RRC signalling does not have to traverse the X2 link</w:t>
      </w:r>
      <w:r w:rsidR="00ED4FFB">
        <w:t xml:space="preserve"> (saving 2 X2 signalling messages and X2 procedure of SgNB modification)</w:t>
      </w:r>
    </w:p>
    <w:p w14:paraId="5AB2DC78" w14:textId="77777777" w:rsidR="00FB4F39" w:rsidRDefault="00FB4F39" w:rsidP="00FB4F39">
      <w:r>
        <w:t>- the aspect that the MeNB does not have to be loaded with NR RRC signalling (and ASN.1 encode/decode operation)</w:t>
      </w:r>
    </w:p>
    <w:p w14:paraId="25E10EC7" w14:textId="11E384A2" w:rsidR="00FB4F39" w:rsidRDefault="00FB4F39" w:rsidP="00FB4F39">
      <w:r>
        <w:t>- positive impact to intra-SgNB mobility performance ([1]) especially for intra SgNB PSCell changes which do not involve the MN</w:t>
      </w:r>
      <w:r w:rsidR="007C6683">
        <w:t xml:space="preserve"> (including faster delivery of measurement reports</w:t>
      </w:r>
      <w:r w:rsidR="0081112A">
        <w:t xml:space="preserve"> to SgNB</w:t>
      </w:r>
      <w:r w:rsidR="007C6683">
        <w:t>)</w:t>
      </w:r>
    </w:p>
    <w:p w14:paraId="506EDB2B" w14:textId="2792B090" w:rsidR="00611400" w:rsidRDefault="00611400" w:rsidP="00FB4F39">
      <w:r>
        <w:t>- all radio reconfigurations that do not need to involve the MN</w:t>
      </w:r>
    </w:p>
    <w:p w14:paraId="2C0372E6" w14:textId="30F7FC73" w:rsidR="00611400" w:rsidRDefault="00611400" w:rsidP="00FB4F39">
      <w:r>
        <w:t>RAN2 has already specified the SRB3 feature in Rel-15 and the feature specification is quite complete (i.e. there are no open issues). Compared to many other NR features, the SRB3 feature is</w:t>
      </w:r>
      <w:r w:rsidR="00ED04AB">
        <w:t xml:space="preserve"> much</w:t>
      </w:r>
      <w:r>
        <w:t xml:space="preserve"> less complex </w:t>
      </w:r>
      <w:r w:rsidR="00ED04AB">
        <w:t>because</w:t>
      </w:r>
      <w:r>
        <w:t xml:space="preserve"> its functionali</w:t>
      </w:r>
      <w:r w:rsidR="00ED04AB">
        <w:t>ty is quite concise.</w:t>
      </w:r>
    </w:p>
    <w:p w14:paraId="349C9AB9" w14:textId="0DEDB184" w:rsidR="00084BCD" w:rsidRDefault="00084BCD" w:rsidP="00FB4F39">
      <w:r>
        <w:t>As such, the testability of SRB3 in an IOT environment should (and will) not present any majo</w:t>
      </w:r>
      <w:r w:rsidR="00ED4FFB">
        <w:t xml:space="preserve">r impact on the timelines. Also, considering the system level gains of using the SRB3, it is imperative to allow its usage </w:t>
      </w:r>
      <w:r w:rsidR="00BF3856">
        <w:t>early on so that the operators are able to benefit from improved mobility performance (against the case when SRB3 is not configured and the LTE MeNB path is adding significant additional delay as indicated in [1]).</w:t>
      </w:r>
    </w:p>
    <w:p w14:paraId="43A12B72" w14:textId="31FE85A9" w:rsidR="00CD4C7B" w:rsidRPr="006E13D1" w:rsidRDefault="00CD4C7B" w:rsidP="00CD4C7B">
      <w:pPr>
        <w:pStyle w:val="Heading1"/>
      </w:pPr>
      <w:r w:rsidRPr="006E13D1">
        <w:t>3</w:t>
      </w:r>
      <w:r w:rsidRPr="006E13D1">
        <w:tab/>
      </w:r>
      <w:r w:rsidR="004B14F0">
        <w:t>Conclusion</w:t>
      </w:r>
    </w:p>
    <w:p w14:paraId="66B7FED1" w14:textId="4FCAF2DD" w:rsidR="004B14F0" w:rsidRDefault="004B14F0" w:rsidP="004B14F0">
      <w:r>
        <w:t xml:space="preserve">In this contribution, we have </w:t>
      </w:r>
      <w:r w:rsidR="002154A4">
        <w:t>provided the background on the system level gains when the SgNB uses SRB3. Considering the gains discussed in [1] and the afore-mentioned arguments, we propose:</w:t>
      </w:r>
    </w:p>
    <w:p w14:paraId="37D3DE27" w14:textId="0B5F0986" w:rsidR="002154A4" w:rsidRDefault="002154A4" w:rsidP="004B14F0">
      <w:pPr>
        <w:rPr>
          <w:b/>
        </w:rPr>
      </w:pPr>
      <w:r w:rsidRPr="002154A4">
        <w:rPr>
          <w:b/>
        </w:rPr>
        <w:t>Proposal</w:t>
      </w:r>
      <w:r>
        <w:rPr>
          <w:b/>
        </w:rPr>
        <w:t xml:space="preserve"> 1: SRB3 is</w:t>
      </w:r>
      <w:r w:rsidR="00FB4F39">
        <w:rPr>
          <w:b/>
        </w:rPr>
        <w:t xml:space="preserve"> a mandatory feature for Rel-15</w:t>
      </w:r>
    </w:p>
    <w:p w14:paraId="5A95D9FD" w14:textId="58DEF748" w:rsidR="002154A4" w:rsidRPr="002154A4" w:rsidRDefault="002154A4" w:rsidP="004B14F0">
      <w:pPr>
        <w:rPr>
          <w:b/>
        </w:rPr>
      </w:pPr>
      <w:r>
        <w:rPr>
          <w:b/>
        </w:rPr>
        <w:t xml:space="preserve">Proposal 2: It can be discussed if the support is indicated using an </w:t>
      </w:r>
      <w:r w:rsidR="00084BCD">
        <w:rPr>
          <w:b/>
        </w:rPr>
        <w:t>IO</w:t>
      </w:r>
      <w:r>
        <w:rPr>
          <w:b/>
        </w:rPr>
        <w:t>T bit</w:t>
      </w:r>
    </w:p>
    <w:p w14:paraId="0FDCFAC2" w14:textId="77777777" w:rsidR="00CD4C7B" w:rsidRPr="006E13D1" w:rsidRDefault="00CD4C7B" w:rsidP="00CD4C7B">
      <w:pPr>
        <w:pStyle w:val="Heading1"/>
      </w:pPr>
      <w:r w:rsidRPr="006E13D1">
        <w:lastRenderedPageBreak/>
        <w:t>References</w:t>
      </w:r>
    </w:p>
    <w:p w14:paraId="0356C741" w14:textId="2EC34CEC" w:rsidR="002154A4" w:rsidRDefault="002154A4" w:rsidP="002154A4">
      <w:pPr>
        <w:numPr>
          <w:ilvl w:val="0"/>
          <w:numId w:val="4"/>
        </w:numPr>
        <w:overflowPunct w:val="0"/>
        <w:autoSpaceDE w:val="0"/>
        <w:autoSpaceDN w:val="0"/>
        <w:adjustRightInd w:val="0"/>
        <w:textAlignment w:val="baseline"/>
      </w:pPr>
      <w:r>
        <w:t xml:space="preserve">R2-1800771: </w:t>
      </w:r>
      <w:r w:rsidRPr="002154A4">
        <w:rPr>
          <w:i/>
        </w:rPr>
        <w:t>Making SRB3 a mandatory feature, Nokia</w:t>
      </w:r>
      <w:r w:rsidRPr="002154A4">
        <w:t>, Nokia Shanghai Bell</w:t>
      </w:r>
    </w:p>
    <w:p w14:paraId="52B5D582" w14:textId="0C5A680F" w:rsidR="002E773E" w:rsidRDefault="002E773E" w:rsidP="004E20A3">
      <w:pPr>
        <w:numPr>
          <w:ilvl w:val="0"/>
          <w:numId w:val="4"/>
        </w:numPr>
        <w:overflowPunct w:val="0"/>
        <w:autoSpaceDE w:val="0"/>
        <w:autoSpaceDN w:val="0"/>
        <w:adjustRightInd w:val="0"/>
        <w:textAlignment w:val="baseline"/>
      </w:pPr>
      <w:r w:rsidRPr="002E773E">
        <w:t>R2-1709244</w:t>
      </w:r>
      <w:r>
        <w:t xml:space="preserve">: </w:t>
      </w:r>
      <w:r w:rsidRPr="002E773E">
        <w:rPr>
          <w:i/>
        </w:rPr>
        <w:t>Comparison of RRC reconfiguration latency for SCG SRB with MCG routed SRB</w:t>
      </w:r>
      <w:r>
        <w:t xml:space="preserve">, </w:t>
      </w:r>
      <w:r w:rsidRPr="00503D7F">
        <w:t>Nokia, Nokia Shanghai Bell</w:t>
      </w:r>
    </w:p>
    <w:p w14:paraId="055200B7" w14:textId="2237D367" w:rsidR="00CD4C7B" w:rsidRDefault="004B14F0" w:rsidP="004E20A3">
      <w:pPr>
        <w:numPr>
          <w:ilvl w:val="0"/>
          <w:numId w:val="4"/>
        </w:numPr>
        <w:overflowPunct w:val="0"/>
        <w:autoSpaceDE w:val="0"/>
        <w:autoSpaceDN w:val="0"/>
        <w:adjustRightInd w:val="0"/>
        <w:textAlignment w:val="baseline"/>
      </w:pPr>
      <w:r>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01590" w14:textId="77777777" w:rsidR="00BF7762" w:rsidRDefault="00BF7762">
      <w:r>
        <w:separator/>
      </w:r>
    </w:p>
  </w:endnote>
  <w:endnote w:type="continuationSeparator" w:id="0">
    <w:p w14:paraId="6F6C8054" w14:textId="77777777" w:rsidR="00BF7762" w:rsidRDefault="00BF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862C" w14:textId="77777777" w:rsidR="00BF7762" w:rsidRDefault="00BF7762">
      <w:r>
        <w:separator/>
      </w:r>
    </w:p>
  </w:footnote>
  <w:footnote w:type="continuationSeparator" w:id="0">
    <w:p w14:paraId="0319F185" w14:textId="77777777" w:rsidR="00BF7762" w:rsidRDefault="00BF7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416"/>
    <w:rsid w:val="00022A02"/>
    <w:rsid w:val="00033397"/>
    <w:rsid w:val="00040095"/>
    <w:rsid w:val="0005143C"/>
    <w:rsid w:val="00080512"/>
    <w:rsid w:val="00084BCD"/>
    <w:rsid w:val="00090468"/>
    <w:rsid w:val="000B7BCF"/>
    <w:rsid w:val="000C522B"/>
    <w:rsid w:val="000D58AB"/>
    <w:rsid w:val="000F5279"/>
    <w:rsid w:val="00116D0A"/>
    <w:rsid w:val="00145075"/>
    <w:rsid w:val="001741A0"/>
    <w:rsid w:val="00194CD0"/>
    <w:rsid w:val="001B49C9"/>
    <w:rsid w:val="001D543A"/>
    <w:rsid w:val="001D7198"/>
    <w:rsid w:val="001F168B"/>
    <w:rsid w:val="001F7831"/>
    <w:rsid w:val="00204045"/>
    <w:rsid w:val="002154A4"/>
    <w:rsid w:val="0022606D"/>
    <w:rsid w:val="002747EC"/>
    <w:rsid w:val="002855BF"/>
    <w:rsid w:val="002D53EF"/>
    <w:rsid w:val="002E773E"/>
    <w:rsid w:val="002F0D22"/>
    <w:rsid w:val="003172DC"/>
    <w:rsid w:val="00326069"/>
    <w:rsid w:val="00331FAA"/>
    <w:rsid w:val="00341FCF"/>
    <w:rsid w:val="0035443F"/>
    <w:rsid w:val="0035462D"/>
    <w:rsid w:val="00393AC4"/>
    <w:rsid w:val="003B40AD"/>
    <w:rsid w:val="003B68E7"/>
    <w:rsid w:val="003C16A5"/>
    <w:rsid w:val="003C4E37"/>
    <w:rsid w:val="003E16BE"/>
    <w:rsid w:val="00401855"/>
    <w:rsid w:val="00430A51"/>
    <w:rsid w:val="00471F1D"/>
    <w:rsid w:val="00477455"/>
    <w:rsid w:val="004B14F0"/>
    <w:rsid w:val="004D3578"/>
    <w:rsid w:val="004D380D"/>
    <w:rsid w:val="004E20A3"/>
    <w:rsid w:val="004E213A"/>
    <w:rsid w:val="00503171"/>
    <w:rsid w:val="00506C28"/>
    <w:rsid w:val="005149BE"/>
    <w:rsid w:val="00521A86"/>
    <w:rsid w:val="00534DA0"/>
    <w:rsid w:val="00543E6C"/>
    <w:rsid w:val="00565087"/>
    <w:rsid w:val="0056573F"/>
    <w:rsid w:val="005E2505"/>
    <w:rsid w:val="005F0E4D"/>
    <w:rsid w:val="00611400"/>
    <w:rsid w:val="00611566"/>
    <w:rsid w:val="006206C2"/>
    <w:rsid w:val="00646D99"/>
    <w:rsid w:val="00656910"/>
    <w:rsid w:val="006C66D8"/>
    <w:rsid w:val="006D1E24"/>
    <w:rsid w:val="006E0F98"/>
    <w:rsid w:val="006E1417"/>
    <w:rsid w:val="006E65D4"/>
    <w:rsid w:val="006F6A2C"/>
    <w:rsid w:val="00710201"/>
    <w:rsid w:val="00714A63"/>
    <w:rsid w:val="007260A7"/>
    <w:rsid w:val="00734A5B"/>
    <w:rsid w:val="00744E76"/>
    <w:rsid w:val="00757D40"/>
    <w:rsid w:val="00781F0F"/>
    <w:rsid w:val="0078727C"/>
    <w:rsid w:val="0079049D"/>
    <w:rsid w:val="007A12EC"/>
    <w:rsid w:val="007B18D8"/>
    <w:rsid w:val="007C095F"/>
    <w:rsid w:val="007C6683"/>
    <w:rsid w:val="007E79D5"/>
    <w:rsid w:val="00802012"/>
    <w:rsid w:val="008028A4"/>
    <w:rsid w:val="0081112A"/>
    <w:rsid w:val="00813245"/>
    <w:rsid w:val="008204D3"/>
    <w:rsid w:val="008768CA"/>
    <w:rsid w:val="00877EF9"/>
    <w:rsid w:val="00880559"/>
    <w:rsid w:val="008A3B24"/>
    <w:rsid w:val="008B5306"/>
    <w:rsid w:val="0090271F"/>
    <w:rsid w:val="00902DB9"/>
    <w:rsid w:val="0090466A"/>
    <w:rsid w:val="00936071"/>
    <w:rsid w:val="00940212"/>
    <w:rsid w:val="00942EC2"/>
    <w:rsid w:val="00961B32"/>
    <w:rsid w:val="00970DB3"/>
    <w:rsid w:val="00974BB0"/>
    <w:rsid w:val="00992854"/>
    <w:rsid w:val="009A0AF3"/>
    <w:rsid w:val="009A579D"/>
    <w:rsid w:val="009B07CD"/>
    <w:rsid w:val="009C19E9"/>
    <w:rsid w:val="009C4D4F"/>
    <w:rsid w:val="009F786B"/>
    <w:rsid w:val="00A10F02"/>
    <w:rsid w:val="00A204CA"/>
    <w:rsid w:val="00A37A21"/>
    <w:rsid w:val="00A53724"/>
    <w:rsid w:val="00A82346"/>
    <w:rsid w:val="00A9671C"/>
    <w:rsid w:val="00AA1553"/>
    <w:rsid w:val="00AB3B40"/>
    <w:rsid w:val="00AF6B82"/>
    <w:rsid w:val="00B0776E"/>
    <w:rsid w:val="00B15449"/>
    <w:rsid w:val="00B20D0C"/>
    <w:rsid w:val="00B32D68"/>
    <w:rsid w:val="00B47FD1"/>
    <w:rsid w:val="00B516BB"/>
    <w:rsid w:val="00B847E2"/>
    <w:rsid w:val="00B872E3"/>
    <w:rsid w:val="00B9538D"/>
    <w:rsid w:val="00BE2137"/>
    <w:rsid w:val="00BF1E25"/>
    <w:rsid w:val="00BF3856"/>
    <w:rsid w:val="00BF5D1E"/>
    <w:rsid w:val="00BF7762"/>
    <w:rsid w:val="00C12B51"/>
    <w:rsid w:val="00C24650"/>
    <w:rsid w:val="00C33079"/>
    <w:rsid w:val="00C54748"/>
    <w:rsid w:val="00C83A13"/>
    <w:rsid w:val="00C9068C"/>
    <w:rsid w:val="00C92967"/>
    <w:rsid w:val="00CA3D0C"/>
    <w:rsid w:val="00CA654B"/>
    <w:rsid w:val="00CC1374"/>
    <w:rsid w:val="00CD0880"/>
    <w:rsid w:val="00CD4C7B"/>
    <w:rsid w:val="00D25490"/>
    <w:rsid w:val="00D67461"/>
    <w:rsid w:val="00D71911"/>
    <w:rsid w:val="00D738D6"/>
    <w:rsid w:val="00D80795"/>
    <w:rsid w:val="00D869EB"/>
    <w:rsid w:val="00D87E00"/>
    <w:rsid w:val="00D9134D"/>
    <w:rsid w:val="00D96D11"/>
    <w:rsid w:val="00DA7A03"/>
    <w:rsid w:val="00DB1818"/>
    <w:rsid w:val="00DB5628"/>
    <w:rsid w:val="00DC309B"/>
    <w:rsid w:val="00DC4DA2"/>
    <w:rsid w:val="00DE555F"/>
    <w:rsid w:val="00E1441E"/>
    <w:rsid w:val="00E62835"/>
    <w:rsid w:val="00E77645"/>
    <w:rsid w:val="00E83697"/>
    <w:rsid w:val="00E92E87"/>
    <w:rsid w:val="00EA1FAD"/>
    <w:rsid w:val="00EC4A25"/>
    <w:rsid w:val="00ED04AB"/>
    <w:rsid w:val="00ED4FFB"/>
    <w:rsid w:val="00F025A2"/>
    <w:rsid w:val="00F066AF"/>
    <w:rsid w:val="00F07388"/>
    <w:rsid w:val="00F2026E"/>
    <w:rsid w:val="00F2210A"/>
    <w:rsid w:val="00F37743"/>
    <w:rsid w:val="00F44A23"/>
    <w:rsid w:val="00F54A3D"/>
    <w:rsid w:val="00F653B8"/>
    <w:rsid w:val="00F71B89"/>
    <w:rsid w:val="00F7353C"/>
    <w:rsid w:val="00F76F8F"/>
    <w:rsid w:val="00F81941"/>
    <w:rsid w:val="00F81A82"/>
    <w:rsid w:val="00FA1266"/>
    <w:rsid w:val="00FB4F39"/>
    <w:rsid w:val="00FC1192"/>
    <w:rsid w:val="00FF18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5AIRPNAIUNRU-859666464-1388</_dlc_DocId>
    <Information xmlns="3b34c8f0-1ef5-4d1e-bb66-517ce7fe7356" xsi:nil="true"/>
    <_dlc_DocIdUrl xmlns="71c5aaf6-e6ce-465b-b873-5148d2a4c105">
      <Url>https://nokia.sharepoint.com/sites/c5g/e2earch/_layouts/15/DocIdRedir.aspx?ID=5AIRPNAIUNRU-859666464-1388</Url>
      <Description>5AIRPNAIUNRU-859666464-1388</Description>
    </_dlc_DocIdUrl>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58531-C490-4855-AC00-828A33FD48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986F0D-05DC-4E80-AAF2-98DED4BD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EAE74-6D54-4058-B64C-1196687F1892}">
  <ds:schemaRefs>
    <ds:schemaRef ds:uri="http://schemas.microsoft.com/sharepoint/events"/>
  </ds:schemaRefs>
</ds:datastoreItem>
</file>

<file path=customXml/itemProps4.xml><?xml version="1.0" encoding="utf-8"?>
<ds:datastoreItem xmlns:ds="http://schemas.openxmlformats.org/officeDocument/2006/customXml" ds:itemID="{7AF22730-12A5-4C0B-A116-97F4BAE75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198</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74</cp:revision>
  <dcterms:created xsi:type="dcterms:W3CDTF">2016-08-12T03:53:00Z</dcterms:created>
  <dcterms:modified xsi:type="dcterms:W3CDTF">2018-02-16T07:18:00Z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6134b78d-43f9-4d51-81cc-50637374fd0c</vt:lpwstr>
  </property>
</Properties>
</file>